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8.6 -->
  <w:body>
    <w:p w:rsidR="00B05195" w:rsidRPr="000A5855" w:rsidP="00B05195">
      <w:pPr>
        <w:spacing w:line="276" w:lineRule="auto"/>
        <w:rPr>
          <w:rFonts w:ascii="Arial" w:eastAsia="Times New Roman" w:hAnsi="Arial" w:cs="Arial"/>
          <w:color w:val="000000"/>
          <w:sz w:val="22"/>
          <w:szCs w:val="22"/>
          <w:shd w:val="clear" w:color="auto" w:fill="auto"/>
        </w:rPr>
      </w:pPr>
      <w:bookmarkStart w:id="0" w:name="_GoBack"/>
      <w:bookmarkEnd w:id="0"/>
    </w:p>
    <w:p w:rsidR="00B05195" w:rsidRPr="000A5855" w:rsidP="00B05195">
      <w:pPr>
        <w:spacing w:line="276" w:lineRule="auto"/>
        <w:rPr>
          <w:rFonts w:ascii="Arial" w:eastAsia="Times New Roman" w:hAnsi="Arial" w:cs="Arial"/>
          <w:color w:val="000000"/>
          <w:sz w:val="22"/>
          <w:szCs w:val="22"/>
          <w:shd w:val="clear" w:color="auto" w:fill="auto"/>
        </w:rPr>
      </w:pPr>
    </w:p>
    <w:p w:rsidR="00B05195" w:rsidRPr="000A5855" w:rsidP="00B05195">
      <w:pPr>
        <w:spacing w:line="276" w:lineRule="auto"/>
        <w:rPr>
          <w:rFonts w:ascii="Arial" w:eastAsia="Times New Roman" w:hAnsi="Arial" w:cs="Arial"/>
          <w:color w:val="000000"/>
          <w:sz w:val="22"/>
          <w:szCs w:val="22"/>
          <w:shd w:val="clear" w:color="auto" w:fill="auto"/>
        </w:rPr>
      </w:pPr>
    </w:p>
    <w:p w:rsidR="00B05195" w:rsidP="00B05195">
      <w:pPr>
        <w:spacing w:line="276" w:lineRule="auto"/>
        <w:rPr>
          <w:rFonts w:ascii="Arial" w:eastAsia="Times New Roman" w:hAnsi="Arial" w:cs="Arial"/>
          <w:color w:val="1D2228"/>
          <w:sz w:val="22"/>
          <w:szCs w:val="22"/>
          <w:shd w:val="clear" w:color="auto" w:fill="auto"/>
        </w:rPr>
      </w:pPr>
      <w:r>
        <w:rPr>
          <w:rFonts w:ascii="Arial" w:eastAsia="Times New Roman" w:hAnsi="Arial" w:cs="Arial"/>
          <w:color w:val="1D2228"/>
          <w:sz w:val="22"/>
          <w:szCs w:val="22"/>
        </w:rPr>
        <w:t>July 9</w:t>
      </w:r>
      <w:r w:rsidR="005D784C">
        <w:rPr>
          <w:rFonts w:ascii="Arial" w:eastAsia="Times New Roman" w:hAnsi="Arial" w:cs="Arial"/>
          <w:color w:val="1D2228"/>
          <w:sz w:val="22"/>
          <w:szCs w:val="22"/>
        </w:rPr>
        <w:t>, 2021</w:t>
      </w:r>
    </w:p>
    <w:p w:rsidR="005D784C" w:rsidP="00B05195">
      <w:pPr>
        <w:spacing w:line="276" w:lineRule="auto"/>
        <w:rPr>
          <w:rFonts w:ascii="Arial" w:eastAsia="Times New Roman" w:hAnsi="Arial" w:cs="Arial"/>
          <w:color w:val="1D2228"/>
          <w:sz w:val="22"/>
          <w:szCs w:val="22"/>
          <w:shd w:val="clear" w:color="auto" w:fill="auto"/>
        </w:rPr>
      </w:pPr>
    </w:p>
    <w:p w:rsidR="005D784C" w:rsidRPr="00A64C42" w:rsidP="005D784C">
      <w:pPr>
        <w:widowControl w:val="0"/>
        <w:autoSpaceDE w:val="0"/>
        <w:autoSpaceDN w:val="0"/>
        <w:adjustRightInd w:val="0"/>
        <w:rPr>
          <w:rFonts w:ascii="Arial" w:eastAsia="Times New Roman" w:hAnsi="Arial" w:cs="Arial"/>
          <w:color w:val="auto"/>
          <w:sz w:val="22"/>
          <w:szCs w:val="22"/>
          <w:shd w:val="clear" w:color="auto" w:fill="auto"/>
        </w:rPr>
      </w:pPr>
      <w:r w:rsidRPr="00A64C42">
        <w:rPr>
          <w:rFonts w:ascii="Arial" w:eastAsia="Times New Roman" w:hAnsi="Arial" w:cs="Arial"/>
          <w:sz w:val="22"/>
          <w:szCs w:val="22"/>
        </w:rPr>
        <w:t>Filing Clerk</w:t>
      </w:r>
    </w:p>
    <w:p w:rsidR="005D784C" w:rsidRPr="00A64C42" w:rsidP="005D784C">
      <w:pPr>
        <w:widowControl w:val="0"/>
        <w:autoSpaceDE w:val="0"/>
        <w:autoSpaceDN w:val="0"/>
        <w:adjustRightInd w:val="0"/>
        <w:rPr>
          <w:rFonts w:ascii="Arial" w:eastAsia="Times New Roman" w:hAnsi="Arial" w:cs="Arial"/>
          <w:color w:val="auto"/>
          <w:sz w:val="22"/>
          <w:szCs w:val="22"/>
          <w:shd w:val="clear" w:color="auto" w:fill="auto"/>
        </w:rPr>
      </w:pPr>
      <w:r w:rsidRPr="00A64C42">
        <w:rPr>
          <w:rFonts w:ascii="Arial" w:eastAsia="Times New Roman" w:hAnsi="Arial" w:cs="Arial"/>
          <w:sz w:val="22"/>
          <w:szCs w:val="22"/>
        </w:rPr>
        <w:t>Public Utility Commission of Texas</w:t>
      </w:r>
    </w:p>
    <w:p w:rsidR="005D784C" w:rsidRPr="00A64C42" w:rsidP="005D784C">
      <w:pPr>
        <w:widowControl w:val="0"/>
        <w:autoSpaceDE w:val="0"/>
        <w:autoSpaceDN w:val="0"/>
        <w:adjustRightInd w:val="0"/>
        <w:rPr>
          <w:rFonts w:ascii="Arial" w:eastAsia="Times New Roman" w:hAnsi="Arial" w:cs="Arial"/>
          <w:color w:val="auto"/>
          <w:sz w:val="22"/>
          <w:szCs w:val="22"/>
          <w:shd w:val="clear" w:color="auto" w:fill="auto"/>
        </w:rPr>
      </w:pPr>
      <w:r w:rsidRPr="00A64C42">
        <w:rPr>
          <w:rFonts w:ascii="Arial" w:eastAsia="Times New Roman" w:hAnsi="Arial" w:cs="Arial"/>
          <w:sz w:val="22"/>
          <w:szCs w:val="22"/>
        </w:rPr>
        <w:t>1701 N. Congress Avenue</w:t>
      </w:r>
    </w:p>
    <w:p w:rsidR="005D784C" w:rsidRPr="00A64C42" w:rsidP="005D784C">
      <w:pPr>
        <w:widowControl w:val="0"/>
        <w:autoSpaceDE w:val="0"/>
        <w:autoSpaceDN w:val="0"/>
        <w:adjustRightInd w:val="0"/>
        <w:rPr>
          <w:rFonts w:ascii="Arial" w:eastAsia="Times New Roman" w:hAnsi="Arial" w:cs="Arial"/>
          <w:color w:val="auto"/>
          <w:sz w:val="22"/>
          <w:szCs w:val="22"/>
          <w:shd w:val="clear" w:color="auto" w:fill="auto"/>
        </w:rPr>
      </w:pPr>
      <w:r w:rsidRPr="00A64C42">
        <w:rPr>
          <w:rFonts w:ascii="Arial" w:eastAsia="Times New Roman" w:hAnsi="Arial" w:cs="Arial"/>
          <w:sz w:val="22"/>
          <w:szCs w:val="22"/>
        </w:rPr>
        <w:t>P.O. Box 13326</w:t>
      </w:r>
    </w:p>
    <w:p w:rsidR="005D784C" w:rsidRPr="00A64C42" w:rsidP="005D784C">
      <w:pPr>
        <w:widowControl w:val="0"/>
        <w:autoSpaceDE w:val="0"/>
        <w:autoSpaceDN w:val="0"/>
        <w:adjustRightInd w:val="0"/>
        <w:rPr>
          <w:rFonts w:ascii="Arial" w:eastAsia="Times New Roman" w:hAnsi="Arial" w:cs="Arial"/>
          <w:color w:val="auto"/>
          <w:sz w:val="22"/>
          <w:szCs w:val="22"/>
          <w:shd w:val="clear" w:color="auto" w:fill="auto"/>
        </w:rPr>
      </w:pPr>
      <w:r w:rsidRPr="00A64C42">
        <w:rPr>
          <w:rFonts w:ascii="Arial" w:eastAsia="Times New Roman" w:hAnsi="Arial" w:cs="Arial"/>
          <w:sz w:val="22"/>
          <w:szCs w:val="22"/>
        </w:rPr>
        <w:t>Austin, TX 78711-3326</w:t>
      </w:r>
    </w:p>
    <w:p w:rsidR="005D784C" w:rsidP="005D784C">
      <w:pPr>
        <w:widowControl w:val="0"/>
        <w:autoSpaceDE w:val="0"/>
        <w:autoSpaceDN w:val="0"/>
        <w:adjustRightInd w:val="0"/>
        <w:spacing w:line="273" w:lineRule="atLeast"/>
        <w:ind w:left="720" w:right="295" w:hanging="720"/>
        <w:rPr>
          <w:rFonts w:ascii="Arial" w:eastAsia="Times New Roman" w:hAnsi="Arial" w:cs="Arial"/>
          <w:b/>
          <w:bCs/>
          <w:color w:val="auto"/>
          <w:sz w:val="22"/>
          <w:szCs w:val="22"/>
          <w:shd w:val="clear" w:color="auto" w:fill="auto"/>
        </w:rPr>
      </w:pPr>
    </w:p>
    <w:p w:rsidR="005D784C" w:rsidP="005D784C">
      <w:pPr>
        <w:widowControl w:val="0"/>
        <w:autoSpaceDE w:val="0"/>
        <w:autoSpaceDN w:val="0"/>
        <w:adjustRightInd w:val="0"/>
        <w:spacing w:line="273" w:lineRule="atLeast"/>
        <w:ind w:left="720" w:right="295" w:hanging="720"/>
        <w:rPr>
          <w:rFonts w:ascii="Arial" w:eastAsia="Times New Roman" w:hAnsi="Arial" w:cs="Arial"/>
          <w:b/>
          <w:bCs/>
          <w:color w:val="auto"/>
          <w:sz w:val="22"/>
          <w:szCs w:val="22"/>
          <w:shd w:val="clear" w:color="auto" w:fill="auto"/>
        </w:rPr>
      </w:pPr>
    </w:p>
    <w:p w:rsidR="005D784C" w:rsidRPr="00C95A4C" w:rsidP="005D784C">
      <w:pPr>
        <w:widowControl w:val="0"/>
        <w:autoSpaceDE w:val="0"/>
        <w:autoSpaceDN w:val="0"/>
        <w:adjustRightInd w:val="0"/>
        <w:spacing w:line="273" w:lineRule="atLeast"/>
        <w:ind w:left="720" w:right="576" w:hanging="720"/>
        <w:jc w:val="both"/>
        <w:rPr>
          <w:rFonts w:ascii="Arial" w:eastAsia="Times New Roman" w:hAnsi="Arial" w:cs="Arial"/>
          <w:b/>
          <w:color w:val="auto"/>
          <w:sz w:val="22"/>
          <w:szCs w:val="22"/>
          <w:shd w:val="clear" w:color="auto" w:fill="auto"/>
        </w:rPr>
      </w:pPr>
      <w:r w:rsidRPr="00C95A4C">
        <w:rPr>
          <w:rFonts w:ascii="Arial" w:eastAsia="Times New Roman" w:hAnsi="Arial" w:cs="Arial"/>
          <w:b/>
          <w:bCs/>
          <w:sz w:val="22"/>
          <w:szCs w:val="22"/>
        </w:rPr>
        <w:t xml:space="preserve">RE: </w:t>
      </w:r>
      <w:r w:rsidRPr="00C95A4C">
        <w:rPr>
          <w:rFonts w:ascii="Arial" w:eastAsia="Times New Roman" w:hAnsi="Arial" w:cs="Arial"/>
          <w:b/>
          <w:bCs/>
          <w:sz w:val="22"/>
          <w:szCs w:val="22"/>
        </w:rPr>
        <w:tab/>
      </w:r>
      <w:r w:rsidRPr="00F73774">
        <w:rPr>
          <w:rFonts w:ascii="Arial" w:hAnsi="Arial" w:cs="Arial"/>
          <w:b/>
          <w:sz w:val="22"/>
          <w:szCs w:val="22"/>
        </w:rPr>
        <w:t xml:space="preserve">Subject:  </w:t>
      </w:r>
      <w:r w:rsidRPr="00F73774">
        <w:rPr>
          <w:rFonts w:ascii="Arial" w:hAnsi="Arial" w:cs="Arial"/>
          <w:sz w:val="22"/>
          <w:szCs w:val="22"/>
        </w:rPr>
        <w:t xml:space="preserve"> </w:t>
      </w:r>
      <w:r w:rsidRPr="00F73774">
        <w:rPr>
          <w:rFonts w:ascii="Arial" w:hAnsi="Arial" w:cs="Arial"/>
          <w:b/>
          <w:sz w:val="22"/>
          <w:szCs w:val="22"/>
        </w:rPr>
        <w:t xml:space="preserve">Project No. </w:t>
      </w:r>
      <w:r>
        <w:rPr>
          <w:rFonts w:ascii="Arial" w:hAnsi="Arial" w:cs="Arial"/>
          <w:b/>
          <w:sz w:val="22"/>
          <w:szCs w:val="22"/>
        </w:rPr>
        <w:t>35077</w:t>
      </w:r>
      <w:r w:rsidRPr="00F73774">
        <w:rPr>
          <w:rFonts w:ascii="Arial" w:hAnsi="Arial" w:cs="Arial"/>
          <w:b/>
          <w:sz w:val="22"/>
          <w:szCs w:val="22"/>
        </w:rPr>
        <w:t>–Oncor Electric Delivery Company’s Transmission Contract Filing Pursuant to Subst. Rule 25.195(e)</w:t>
      </w:r>
    </w:p>
    <w:p w:rsidR="005D784C" w:rsidP="005D784C">
      <w:pPr>
        <w:widowControl w:val="0"/>
        <w:autoSpaceDE w:val="0"/>
        <w:autoSpaceDN w:val="0"/>
        <w:adjustRightInd w:val="0"/>
        <w:spacing w:line="276" w:lineRule="atLeast"/>
        <w:ind w:right="576"/>
        <w:jc w:val="both"/>
        <w:rPr>
          <w:rFonts w:ascii="Arial" w:eastAsia="Times New Roman" w:hAnsi="Arial" w:cs="Arial"/>
          <w:color w:val="auto"/>
          <w:sz w:val="22"/>
          <w:szCs w:val="22"/>
          <w:shd w:val="clear" w:color="auto" w:fill="auto"/>
        </w:rPr>
      </w:pPr>
    </w:p>
    <w:p w:rsidR="005D784C" w:rsidP="005D784C">
      <w:pPr>
        <w:widowControl w:val="0"/>
        <w:autoSpaceDE w:val="0"/>
        <w:autoSpaceDN w:val="0"/>
        <w:adjustRightInd w:val="0"/>
        <w:spacing w:line="276" w:lineRule="atLeast"/>
        <w:ind w:right="576"/>
        <w:jc w:val="both"/>
        <w:rPr>
          <w:rFonts w:ascii="Arial" w:eastAsia="Times New Roman" w:hAnsi="Arial" w:cs="Arial"/>
          <w:color w:val="auto"/>
          <w:sz w:val="22"/>
          <w:szCs w:val="22"/>
          <w:shd w:val="clear" w:color="auto" w:fill="auto"/>
        </w:rPr>
      </w:pPr>
    </w:p>
    <w:p w:rsidR="006C7F5E" w:rsidRPr="00F52D67" w:rsidP="008D6F7D">
      <w:pPr>
        <w:jc w:val="both"/>
        <w:rPr>
          <w:rFonts w:ascii="Arial" w:hAnsi="Arial" w:cs="Arial"/>
          <w:color w:val="auto"/>
          <w:sz w:val="22"/>
          <w:szCs w:val="22"/>
          <w:shd w:val="clear" w:color="auto" w:fill="auto"/>
        </w:rPr>
      </w:pPr>
      <w:r w:rsidRPr="00F52D67">
        <w:rPr>
          <w:rFonts w:ascii="Arial" w:hAnsi="Arial" w:cs="Arial"/>
          <w:sz w:val="22"/>
          <w:szCs w:val="22"/>
        </w:rPr>
        <w:t xml:space="preserve">Find attached </w:t>
      </w:r>
      <w:r>
        <w:rPr>
          <w:rFonts w:ascii="Arial" w:hAnsi="Arial" w:cs="Arial"/>
          <w:sz w:val="22"/>
          <w:szCs w:val="22"/>
        </w:rPr>
        <w:t>the</w:t>
      </w:r>
      <w:r w:rsidRPr="00F52D67">
        <w:rPr>
          <w:rFonts w:ascii="Arial" w:hAnsi="Arial" w:cs="Arial"/>
          <w:sz w:val="22"/>
          <w:szCs w:val="22"/>
        </w:rPr>
        <w:t xml:space="preserve"> </w:t>
      </w:r>
      <w:r>
        <w:rPr>
          <w:rFonts w:ascii="Arial" w:hAnsi="Arial" w:cs="Arial"/>
          <w:sz w:val="22"/>
          <w:szCs w:val="22"/>
        </w:rPr>
        <w:t xml:space="preserve">Standard Generation </w:t>
      </w:r>
      <w:r w:rsidRPr="00F52D67">
        <w:rPr>
          <w:rFonts w:ascii="Arial" w:hAnsi="Arial" w:cs="Arial"/>
          <w:sz w:val="22"/>
          <w:szCs w:val="22"/>
        </w:rPr>
        <w:t xml:space="preserve">Interconnection Agreement between Oncor Electric Delivery Company </w:t>
      </w:r>
      <w:r w:rsidRPr="00370F3F">
        <w:rPr>
          <w:rFonts w:ascii="Arial" w:hAnsi="Arial" w:cs="Arial"/>
          <w:sz w:val="22"/>
          <w:szCs w:val="22"/>
        </w:rPr>
        <w:t xml:space="preserve">LLC and </w:t>
      </w:r>
      <w:r>
        <w:rPr>
          <w:rFonts w:ascii="Arial" w:eastAsia="Times New Roman" w:hAnsi="Arial" w:cs="Arial"/>
          <w:sz w:val="22"/>
          <w:szCs w:val="22"/>
        </w:rPr>
        <w:t xml:space="preserve">BT Pitts </w:t>
      </w:r>
      <w:r>
        <w:rPr>
          <w:rFonts w:ascii="Arial" w:eastAsia="Times New Roman" w:hAnsi="Arial" w:cs="Arial"/>
          <w:sz w:val="22"/>
          <w:szCs w:val="22"/>
        </w:rPr>
        <w:t>Dudik</w:t>
      </w:r>
      <w:r>
        <w:rPr>
          <w:rFonts w:ascii="Arial" w:eastAsia="Times New Roman" w:hAnsi="Arial" w:cs="Arial"/>
          <w:sz w:val="22"/>
          <w:szCs w:val="22"/>
        </w:rPr>
        <w:t xml:space="preserve"> Solar, LLC (GIR </w:t>
      </w:r>
      <w:r>
        <w:rPr>
          <w:rFonts w:ascii="Arial" w:hAnsi="Arial" w:cs="Arial"/>
          <w:sz w:val="22"/>
          <w:szCs w:val="22"/>
        </w:rPr>
        <w:t>20INR0074</w:t>
      </w:r>
      <w:r w:rsidRPr="007D0C20">
        <w:rPr>
          <w:rFonts w:ascii="Arial" w:hAnsi="Arial" w:cs="Arial"/>
          <w:sz w:val="22"/>
          <w:szCs w:val="22"/>
        </w:rPr>
        <w:t xml:space="preserve">), dated </w:t>
      </w:r>
      <w:r>
        <w:rPr>
          <w:rFonts w:ascii="Arial" w:hAnsi="Arial" w:cs="Arial"/>
          <w:sz w:val="22"/>
          <w:szCs w:val="22"/>
        </w:rPr>
        <w:t>May</w:t>
      </w:r>
      <w:r w:rsidRPr="007D0C20">
        <w:rPr>
          <w:rFonts w:ascii="Arial" w:hAnsi="Arial" w:cs="Arial"/>
          <w:sz w:val="22"/>
          <w:szCs w:val="22"/>
        </w:rPr>
        <w:t xml:space="preserve"> </w:t>
      </w:r>
      <w:r>
        <w:rPr>
          <w:rFonts w:ascii="Arial" w:hAnsi="Arial" w:cs="Arial"/>
          <w:sz w:val="22"/>
          <w:szCs w:val="22"/>
        </w:rPr>
        <w:t>11</w:t>
      </w:r>
      <w:r w:rsidRPr="007D0C20">
        <w:rPr>
          <w:rFonts w:ascii="Arial" w:hAnsi="Arial" w:cs="Arial"/>
          <w:sz w:val="22"/>
          <w:szCs w:val="22"/>
        </w:rPr>
        <w:t>, 202</w:t>
      </w:r>
      <w:r>
        <w:rPr>
          <w:rFonts w:ascii="Arial" w:hAnsi="Arial" w:cs="Arial"/>
          <w:sz w:val="22"/>
          <w:szCs w:val="22"/>
        </w:rPr>
        <w:t>1 (Interconnection Agreement)</w:t>
      </w:r>
      <w:r w:rsidRPr="00F52D67">
        <w:rPr>
          <w:rFonts w:ascii="Arial" w:hAnsi="Arial" w:cs="Arial"/>
          <w:sz w:val="22"/>
          <w:szCs w:val="22"/>
        </w:rPr>
        <w:t xml:space="preserve">, for filing at the Public Utility Commission pursuant to Substantive Rule 25.195(e).  Because the filed </w:t>
      </w:r>
      <w:r>
        <w:rPr>
          <w:rFonts w:ascii="Arial" w:hAnsi="Arial" w:cs="Arial"/>
          <w:sz w:val="22"/>
          <w:szCs w:val="22"/>
        </w:rPr>
        <w:t>Interconnection A</w:t>
      </w:r>
      <w:r w:rsidRPr="00F52D67">
        <w:rPr>
          <w:rFonts w:ascii="Arial" w:hAnsi="Arial" w:cs="Arial"/>
          <w:sz w:val="22"/>
          <w:szCs w:val="22"/>
        </w:rPr>
        <w:t xml:space="preserve">greement contains slight deviations from the Commission-approved standard generation interconnection agreement (SGIA), Oncor Electric Delivery has prepared this letter explaining the changes and request that it be filed with the aforementioned </w:t>
      </w:r>
      <w:r>
        <w:rPr>
          <w:rFonts w:ascii="Arial" w:hAnsi="Arial" w:cs="Arial"/>
          <w:sz w:val="22"/>
          <w:szCs w:val="22"/>
        </w:rPr>
        <w:t>I</w:t>
      </w:r>
      <w:r w:rsidRPr="00F52D67">
        <w:rPr>
          <w:rFonts w:ascii="Arial" w:hAnsi="Arial" w:cs="Arial"/>
          <w:sz w:val="22"/>
          <w:szCs w:val="22"/>
        </w:rPr>
        <w:t xml:space="preserve">nterconnection </w:t>
      </w:r>
      <w:r>
        <w:rPr>
          <w:rFonts w:ascii="Arial" w:hAnsi="Arial" w:cs="Arial"/>
          <w:sz w:val="22"/>
          <w:szCs w:val="22"/>
        </w:rPr>
        <w:t>A</w:t>
      </w:r>
      <w:r w:rsidRPr="00F52D67">
        <w:rPr>
          <w:rFonts w:ascii="Arial" w:hAnsi="Arial" w:cs="Arial"/>
          <w:sz w:val="22"/>
          <w:szCs w:val="22"/>
        </w:rPr>
        <w:t>greement.</w:t>
      </w:r>
      <w:r>
        <w:rPr>
          <w:rFonts w:ascii="Arial" w:hAnsi="Arial" w:cs="Arial"/>
          <w:sz w:val="22"/>
          <w:szCs w:val="22"/>
        </w:rPr>
        <w:t xml:space="preserve"> </w:t>
      </w:r>
    </w:p>
    <w:p w:rsidR="005D784C" w:rsidRPr="00F52D67" w:rsidP="008D6F7D">
      <w:pPr>
        <w:jc w:val="both"/>
        <w:rPr>
          <w:rFonts w:ascii="Arial" w:hAnsi="Arial" w:cs="Arial"/>
          <w:color w:val="auto"/>
          <w:sz w:val="22"/>
          <w:szCs w:val="22"/>
          <w:shd w:val="clear" w:color="auto" w:fill="auto"/>
        </w:rPr>
      </w:pPr>
    </w:p>
    <w:p w:rsidR="005D784C" w:rsidRPr="00F52D67" w:rsidP="008D6F7D">
      <w:pPr>
        <w:numPr>
          <w:ilvl w:val="0"/>
          <w:numId w:val="1"/>
        </w:numPr>
        <w:tabs>
          <w:tab w:val="num" w:pos="360"/>
          <w:tab w:val="clear" w:pos="1080"/>
        </w:tabs>
        <w:ind w:left="360"/>
        <w:jc w:val="both"/>
        <w:rPr>
          <w:rFonts w:ascii="Arial" w:hAnsi="Arial" w:cs="Arial"/>
          <w:color w:val="auto"/>
          <w:sz w:val="22"/>
          <w:szCs w:val="22"/>
          <w:shd w:val="clear" w:color="auto" w:fill="auto"/>
        </w:rPr>
      </w:pPr>
      <w:r w:rsidRPr="00F52D67">
        <w:rPr>
          <w:rFonts w:ascii="Arial" w:hAnsi="Arial" w:cs="Arial"/>
          <w:sz w:val="22"/>
          <w:szCs w:val="22"/>
        </w:rPr>
        <w:t xml:space="preserve">The Interconnection Agreement has been modified to </w:t>
      </w:r>
      <w:r w:rsidRPr="00FC3C01">
        <w:rPr>
          <w:rFonts w:ascii="Arial" w:hAnsi="Arial" w:cs="Arial"/>
          <w:sz w:val="22"/>
          <w:szCs w:val="22"/>
        </w:rPr>
        <w:t>replace the term “senior secured debt” with “senior long-term debt”</w:t>
      </w:r>
      <w:r w:rsidRPr="00F52D67">
        <w:rPr>
          <w:rFonts w:ascii="Arial" w:hAnsi="Arial" w:cs="Arial"/>
          <w:sz w:val="22"/>
          <w:szCs w:val="22"/>
        </w:rPr>
        <w:t xml:space="preserve"> an</w:t>
      </w:r>
      <w:r>
        <w:rPr>
          <w:rFonts w:ascii="Arial" w:hAnsi="Arial" w:cs="Arial"/>
          <w:sz w:val="22"/>
          <w:szCs w:val="22"/>
        </w:rPr>
        <w:t>d</w:t>
      </w:r>
      <w:r w:rsidRPr="00F52D67">
        <w:rPr>
          <w:rFonts w:ascii="Arial" w:hAnsi="Arial" w:cs="Arial"/>
          <w:sz w:val="22"/>
          <w:szCs w:val="22"/>
        </w:rPr>
        <w:t xml:space="preserve"> replace the term “Standard &amp; Poor’s” with “Standard &amp; Poor’s or Moody’s Investor’s Service”, “Standard &amp; Poor’s and Moody’s Investor’s Service”, and “Standard &amp; Poor’s and Moody’s Investor’s Service”, respectively, in Exhibit “A”, Article 9, INSURANCE, Subsection 9.1.J.</w:t>
      </w:r>
    </w:p>
    <w:p w:rsidR="005D784C" w:rsidRPr="00F52D67" w:rsidP="008D6F7D">
      <w:pPr>
        <w:jc w:val="both"/>
        <w:rPr>
          <w:rFonts w:ascii="Arial" w:hAnsi="Arial" w:cs="Arial"/>
          <w:color w:val="auto"/>
          <w:sz w:val="22"/>
          <w:szCs w:val="22"/>
          <w:shd w:val="clear" w:color="auto" w:fill="auto"/>
        </w:rPr>
      </w:pPr>
    </w:p>
    <w:p w:rsidR="005D784C" w:rsidP="008D6F7D">
      <w:pPr>
        <w:numPr>
          <w:ilvl w:val="0"/>
          <w:numId w:val="2"/>
        </w:numPr>
        <w:jc w:val="both"/>
        <w:rPr>
          <w:rFonts w:ascii="Arial" w:hAnsi="Arial" w:cs="Arial"/>
          <w:color w:val="auto"/>
          <w:sz w:val="22"/>
          <w:szCs w:val="22"/>
          <w:shd w:val="clear" w:color="auto" w:fill="auto"/>
        </w:rPr>
      </w:pPr>
      <w:r w:rsidRPr="00F52D67">
        <w:rPr>
          <w:rFonts w:ascii="Arial" w:hAnsi="Arial" w:cs="Arial"/>
          <w:sz w:val="22"/>
          <w:szCs w:val="22"/>
        </w:rPr>
        <w:t xml:space="preserve">The </w:t>
      </w:r>
      <w:r w:rsidRPr="00583C67">
        <w:rPr>
          <w:rFonts w:ascii="Arial" w:hAnsi="Arial" w:cs="Arial"/>
          <w:sz w:val="22"/>
          <w:szCs w:val="22"/>
        </w:rPr>
        <w:t xml:space="preserve">definition for “ISO” has been deleted and all references to “ISO” have been changed to “ERCOT”.  The following language in Exhibit “A”, Article 6, Subsection </w:t>
      </w:r>
      <w:r w:rsidRPr="00583C67">
        <w:rPr>
          <w:rFonts w:ascii="Arial" w:hAnsi="Arial" w:cs="Arial"/>
          <w:snapToGrid w:val="0"/>
          <w:sz w:val="22"/>
          <w:szCs w:val="22"/>
        </w:rPr>
        <w:t xml:space="preserve">6.2, </w:t>
      </w:r>
      <w:r w:rsidRPr="00583C67">
        <w:rPr>
          <w:rFonts w:ascii="Arial" w:hAnsi="Arial" w:cs="Arial"/>
          <w:snapToGrid w:val="0"/>
          <w:sz w:val="22"/>
          <w:szCs w:val="22"/>
          <w:u w:val="single"/>
        </w:rPr>
        <w:t>Control Area Notification</w:t>
      </w:r>
      <w:r w:rsidRPr="00583C67">
        <w:rPr>
          <w:rFonts w:ascii="Arial" w:hAnsi="Arial" w:cs="Arial"/>
          <w:snapToGrid w:val="0"/>
          <w:sz w:val="22"/>
          <w:szCs w:val="22"/>
        </w:rPr>
        <w:t xml:space="preserve"> has been deleted, “At least</w:t>
      </w:r>
      <w:r w:rsidRPr="00F52D67">
        <w:rPr>
          <w:rFonts w:ascii="Arial" w:hAnsi="Arial" w:cs="Arial"/>
          <w:snapToGrid w:val="0"/>
          <w:sz w:val="22"/>
          <w:szCs w:val="22"/>
        </w:rPr>
        <w:t xml:space="preserve"> six months before Trial Operation, the Generator shall notify the TSP in writing of the Control Area in which it will be located.  </w:t>
      </w:r>
      <w:r w:rsidRPr="00F52D67">
        <w:rPr>
          <w:rFonts w:ascii="Arial" w:hAnsi="Arial" w:cs="Arial"/>
          <w:sz w:val="22"/>
          <w:szCs w:val="22"/>
        </w:rPr>
        <w:t xml:space="preserve">If the Generator elects to be located in a Control Area other than the Control Area in which the TSP is located, all necessary agreements, including but not limited to remote control area generator interchange agreements, if applicable, and appropriate measures under such agreements, shall be executed and implemented prior to the placement of the Plant in the other Control Area.  The Parties will diligently cooperate with one another to enable such agreements to be executed </w:t>
      </w:r>
    </w:p>
    <w:p w:rsidR="005D784C" w:rsidP="008D6F7D">
      <w:pPr>
        <w:jc w:val="both"/>
        <w:rPr>
          <w:rFonts w:ascii="Arial" w:hAnsi="Arial" w:cs="Arial"/>
          <w:color w:val="auto"/>
          <w:sz w:val="22"/>
          <w:szCs w:val="22"/>
          <w:shd w:val="clear" w:color="auto" w:fill="auto"/>
        </w:rPr>
      </w:pPr>
    </w:p>
    <w:p w:rsidR="005D784C" w:rsidP="008D6F7D">
      <w:pPr>
        <w:jc w:val="both"/>
        <w:rPr>
          <w:rFonts w:ascii="Arial" w:hAnsi="Arial" w:cs="Arial"/>
          <w:color w:val="auto"/>
          <w:sz w:val="22"/>
          <w:szCs w:val="22"/>
          <w:shd w:val="clear" w:color="auto" w:fill="auto"/>
        </w:rPr>
      </w:pPr>
    </w:p>
    <w:p w:rsidR="005D784C" w:rsidP="008D6F7D">
      <w:pPr>
        <w:jc w:val="both"/>
        <w:rPr>
          <w:rFonts w:ascii="Arial" w:hAnsi="Arial" w:cs="Arial"/>
          <w:color w:val="auto"/>
          <w:sz w:val="22"/>
          <w:szCs w:val="22"/>
          <w:shd w:val="clear" w:color="auto" w:fill="auto"/>
        </w:rPr>
      </w:pPr>
    </w:p>
    <w:p w:rsidR="005D784C" w:rsidP="008D6F7D">
      <w:pPr>
        <w:jc w:val="both"/>
        <w:rPr>
          <w:rFonts w:ascii="Arial" w:hAnsi="Arial" w:cs="Arial"/>
          <w:color w:val="auto"/>
          <w:sz w:val="22"/>
          <w:szCs w:val="22"/>
          <w:shd w:val="clear" w:color="auto" w:fill="auto"/>
        </w:rPr>
      </w:pPr>
    </w:p>
    <w:p w:rsidR="005D784C" w:rsidP="008D6F7D">
      <w:pPr>
        <w:jc w:val="both"/>
        <w:rPr>
          <w:rFonts w:ascii="Arial" w:hAnsi="Arial" w:cs="Arial"/>
          <w:color w:val="auto"/>
          <w:sz w:val="22"/>
          <w:szCs w:val="22"/>
          <w:shd w:val="clear" w:color="auto" w:fill="auto"/>
        </w:rPr>
      </w:pPr>
    </w:p>
    <w:p w:rsidR="008D6F7D" w:rsidP="008D6F7D">
      <w:pPr>
        <w:ind w:right="180"/>
        <w:jc w:val="both"/>
        <w:rPr>
          <w:rFonts w:ascii="Arial" w:hAnsi="Arial" w:cs="Arial"/>
          <w:color w:val="auto"/>
          <w:sz w:val="22"/>
          <w:szCs w:val="22"/>
          <w:shd w:val="clear" w:color="auto" w:fill="auto"/>
        </w:rPr>
      </w:pPr>
    </w:p>
    <w:p w:rsidR="005D784C" w:rsidP="008D6F7D">
      <w:pPr>
        <w:jc w:val="both"/>
        <w:rPr>
          <w:rFonts w:ascii="Arial" w:hAnsi="Arial" w:cs="Arial"/>
          <w:color w:val="auto"/>
          <w:sz w:val="22"/>
          <w:szCs w:val="22"/>
          <w:shd w:val="clear" w:color="auto" w:fill="auto"/>
        </w:rPr>
      </w:pPr>
      <w:r>
        <w:rPr>
          <w:rFonts w:ascii="Arial" w:hAnsi="Arial" w:cs="Arial"/>
          <w:sz w:val="22"/>
          <w:szCs w:val="22"/>
        </w:rPr>
        <w:t>July 9</w:t>
      </w:r>
      <w:r w:rsidR="006B1F14">
        <w:rPr>
          <w:rFonts w:ascii="Arial" w:hAnsi="Arial" w:cs="Arial"/>
          <w:sz w:val="22"/>
          <w:szCs w:val="22"/>
        </w:rPr>
        <w:t>, 2021</w:t>
      </w:r>
    </w:p>
    <w:p w:rsidR="005D784C" w:rsidP="008D6F7D">
      <w:pPr>
        <w:jc w:val="both"/>
        <w:rPr>
          <w:rFonts w:ascii="Arial" w:hAnsi="Arial" w:cs="Arial"/>
          <w:color w:val="auto"/>
          <w:sz w:val="22"/>
          <w:szCs w:val="22"/>
          <w:shd w:val="clear" w:color="auto" w:fill="auto"/>
        </w:rPr>
      </w:pPr>
      <w:r>
        <w:rPr>
          <w:rFonts w:ascii="Arial" w:hAnsi="Arial" w:cs="Arial"/>
          <w:sz w:val="22"/>
          <w:szCs w:val="22"/>
        </w:rPr>
        <w:t>Page 2</w:t>
      </w:r>
    </w:p>
    <w:p w:rsidR="005D784C" w:rsidP="008D6F7D">
      <w:pPr>
        <w:ind w:left="360"/>
        <w:jc w:val="both"/>
        <w:rPr>
          <w:rFonts w:ascii="Arial" w:hAnsi="Arial" w:cs="Arial"/>
          <w:color w:val="auto"/>
          <w:sz w:val="22"/>
          <w:szCs w:val="22"/>
          <w:shd w:val="clear" w:color="auto" w:fill="auto"/>
        </w:rPr>
      </w:pPr>
    </w:p>
    <w:p w:rsidR="005D784C" w:rsidP="008D6F7D">
      <w:pPr>
        <w:ind w:left="360"/>
        <w:jc w:val="both"/>
        <w:rPr>
          <w:rFonts w:ascii="Arial" w:hAnsi="Arial" w:cs="Arial"/>
          <w:color w:val="auto"/>
          <w:sz w:val="22"/>
          <w:szCs w:val="22"/>
          <w:shd w:val="clear" w:color="auto" w:fill="auto"/>
        </w:rPr>
      </w:pPr>
    </w:p>
    <w:p w:rsidR="005D784C" w:rsidRPr="00F73774" w:rsidP="008D6F7D">
      <w:pPr>
        <w:ind w:left="360"/>
        <w:jc w:val="both"/>
        <w:rPr>
          <w:rFonts w:ascii="Arial" w:hAnsi="Arial" w:cs="Arial"/>
          <w:color w:val="auto"/>
          <w:sz w:val="22"/>
          <w:szCs w:val="22"/>
          <w:shd w:val="clear" w:color="auto" w:fill="auto"/>
        </w:rPr>
      </w:pPr>
      <w:r w:rsidRPr="00F73774">
        <w:rPr>
          <w:rFonts w:ascii="Arial" w:hAnsi="Arial" w:cs="Arial"/>
          <w:sz w:val="22"/>
          <w:szCs w:val="22"/>
        </w:rPr>
        <w:t>and implemented on a schedule necessary to meet the Trial Operation date specified in Exhibit ‘B’”</w:t>
      </w:r>
      <w:r w:rsidRPr="00F73774">
        <w:rPr>
          <w:rFonts w:ascii="Arial" w:hAnsi="Arial" w:cs="Arial"/>
          <w:snapToGrid w:val="0"/>
          <w:sz w:val="22"/>
          <w:szCs w:val="22"/>
        </w:rPr>
        <w:t>, and replaced with, “T</w:t>
      </w:r>
      <w:r w:rsidRPr="00F73774">
        <w:rPr>
          <w:rFonts w:ascii="Arial" w:hAnsi="Arial" w:cs="Arial"/>
          <w:sz w:val="22"/>
          <w:szCs w:val="22"/>
        </w:rPr>
        <w:t>he Control Area within ERCOT is a single Control Area with ERCOT assuming authority as the Control Area operator in accordance with the ERCOT Protocols.”</w:t>
      </w:r>
    </w:p>
    <w:p w:rsidR="005D784C" w:rsidP="008D6F7D">
      <w:pPr>
        <w:ind w:left="360"/>
        <w:jc w:val="both"/>
        <w:rPr>
          <w:rFonts w:ascii="Arial" w:hAnsi="Arial" w:cs="Arial"/>
          <w:color w:val="auto"/>
          <w:sz w:val="22"/>
          <w:szCs w:val="22"/>
          <w:shd w:val="clear" w:color="auto" w:fill="auto"/>
        </w:rPr>
      </w:pPr>
    </w:p>
    <w:p w:rsidR="006E635F" w:rsidRPr="00F73774" w:rsidP="008D6F7D">
      <w:pPr>
        <w:numPr>
          <w:ilvl w:val="0"/>
          <w:numId w:val="2"/>
        </w:numPr>
        <w:jc w:val="both"/>
        <w:rPr>
          <w:rFonts w:ascii="Arial" w:hAnsi="Arial" w:cs="Arial"/>
          <w:color w:val="auto"/>
          <w:sz w:val="22"/>
          <w:szCs w:val="22"/>
          <w:shd w:val="clear" w:color="auto" w:fill="auto"/>
        </w:rPr>
      </w:pPr>
      <w:r w:rsidRPr="00F73774">
        <w:rPr>
          <w:rFonts w:ascii="Arial" w:hAnsi="Arial" w:cs="Arial"/>
          <w:sz w:val="22"/>
          <w:szCs w:val="22"/>
        </w:rPr>
        <w:t xml:space="preserve">The following references to the PUCT Substantive Rules </w:t>
      </w:r>
      <w:r>
        <w:rPr>
          <w:rFonts w:ascii="Arial" w:hAnsi="Arial" w:cs="Arial"/>
          <w:sz w:val="22"/>
          <w:szCs w:val="22"/>
        </w:rPr>
        <w:t xml:space="preserve">in </w:t>
      </w:r>
      <w:r w:rsidRPr="00F73774">
        <w:rPr>
          <w:rFonts w:ascii="Arial" w:hAnsi="Arial" w:cs="Arial"/>
          <w:sz w:val="22"/>
          <w:szCs w:val="22"/>
        </w:rPr>
        <w:t>Article 1. Definitions, were changed, PUCT Rule 25.198(g) to 25.198(d); 25.5(23) to 25.5(56); 25.196(e) to 25.191(d) (3).</w:t>
      </w:r>
    </w:p>
    <w:p w:rsidR="006E635F" w:rsidRPr="00F73774" w:rsidP="006E635F">
      <w:pPr>
        <w:ind w:right="576"/>
        <w:jc w:val="both"/>
        <w:rPr>
          <w:rFonts w:ascii="Arial" w:hAnsi="Arial" w:cs="Arial"/>
          <w:color w:val="auto"/>
          <w:sz w:val="22"/>
          <w:szCs w:val="22"/>
          <w:shd w:val="clear" w:color="auto" w:fill="auto"/>
        </w:rPr>
      </w:pPr>
    </w:p>
    <w:p w:rsidR="00B05195" w:rsidRPr="000A5855" w:rsidP="00B05195">
      <w:pPr>
        <w:spacing w:line="276" w:lineRule="auto"/>
        <w:rPr>
          <w:rFonts w:ascii="Arial" w:eastAsia="Times New Roman" w:hAnsi="Arial" w:cs="Arial"/>
          <w:color w:val="auto"/>
          <w:sz w:val="22"/>
          <w:szCs w:val="22"/>
          <w:shd w:val="clear" w:color="auto" w:fill="auto"/>
        </w:rPr>
      </w:pPr>
    </w:p>
    <w:p w:rsidR="00B05195" w:rsidRPr="000A5855" w:rsidP="00B05195">
      <w:pPr>
        <w:spacing w:line="276" w:lineRule="auto"/>
        <w:rPr>
          <w:rFonts w:ascii="Helvetica Neue" w:eastAsia="Times New Roman" w:hAnsi="Helvetica Neue" w:cs="Times New Roman"/>
          <w:color w:val="000000"/>
          <w:sz w:val="22"/>
          <w:szCs w:val="22"/>
          <w:shd w:val="clear" w:color="auto" w:fill="auto"/>
        </w:rPr>
      </w:pPr>
      <w:r w:rsidRPr="000A5855">
        <w:rPr>
          <w:rFonts w:ascii="Arial" w:eastAsia="Times New Roman" w:hAnsi="Arial" w:cs="Arial"/>
          <w:color w:val="000000"/>
          <w:sz w:val="22"/>
          <w:szCs w:val="22"/>
        </w:rPr>
        <w:t>Sincerely,</w:t>
      </w:r>
    </w:p>
    <w:p w:rsidR="00B05195" w:rsidP="00B05195">
      <w:pPr>
        <w:spacing w:line="276" w:lineRule="auto"/>
        <w:rPr>
          <w:rFonts w:ascii="Helvetica Neue" w:eastAsia="Times New Roman" w:hAnsi="Helvetica Neue" w:cs="Times New Roman"/>
          <w:color w:val="000000"/>
          <w:sz w:val="22"/>
          <w:szCs w:val="22"/>
          <w:shd w:val="clear" w:color="auto" w:fill="auto"/>
        </w:rPr>
      </w:pPr>
    </w:p>
    <w:p w:rsidR="005D784C" w:rsidP="005D784C">
      <w:pPr>
        <w:spacing w:line="276" w:lineRule="auto"/>
        <w:ind w:hanging="270"/>
        <w:rPr>
          <w:rFonts w:ascii="Helvetica Neue" w:eastAsia="Times New Roman" w:hAnsi="Helvetica Neue" w:cs="Times New Roman"/>
          <w:color w:val="000000"/>
          <w:sz w:val="22"/>
          <w:szCs w:val="22"/>
          <w:shd w:val="clear" w:color="auto" w:fill="auto"/>
        </w:rPr>
      </w:pPr>
    </w:p>
    <w:p w:rsidR="005D784C" w:rsidRPr="000A5855" w:rsidP="00B05195">
      <w:pPr>
        <w:spacing w:line="276" w:lineRule="auto"/>
        <w:rPr>
          <w:rFonts w:ascii="Helvetica Neue" w:eastAsia="Times New Roman" w:hAnsi="Helvetica Neue" w:cs="Times New Roman"/>
          <w:color w:val="000000"/>
          <w:sz w:val="22"/>
          <w:szCs w:val="22"/>
          <w:shd w:val="clear" w:color="auto" w:fill="auto"/>
        </w:rPr>
      </w:pPr>
    </w:p>
    <w:p w:rsidR="00992489" w:rsidP="00B05195">
      <w:pPr>
        <w:spacing w:line="276" w:lineRule="auto"/>
        <w:rPr>
          <w:rFonts w:ascii="Arial" w:eastAsia="Times New Roman" w:hAnsi="Arial" w:cs="Arial"/>
          <w:color w:val="000000"/>
          <w:sz w:val="22"/>
          <w:szCs w:val="22"/>
          <w:shd w:val="clear" w:color="auto" w:fill="auto"/>
        </w:rPr>
      </w:pPr>
      <w:r>
        <w:rPr>
          <w:rFonts w:ascii="Arial" w:eastAsia="Times New Roman" w:hAnsi="Arial" w:cs="Arial"/>
          <w:color w:val="000000"/>
          <w:sz w:val="22"/>
          <w:szCs w:val="22"/>
        </w:rPr>
        <w:t>Thomas J. Yamin, P.E.</w:t>
      </w:r>
    </w:p>
    <w:p w:rsidR="00B05195" w:rsidRPr="000A5855" w:rsidP="00B05195">
      <w:pPr>
        <w:spacing w:line="276" w:lineRule="auto"/>
        <w:rPr>
          <w:rFonts w:ascii="Helvetica Neue" w:eastAsia="Times New Roman" w:hAnsi="Helvetica Neue" w:cs="Times New Roman"/>
          <w:color w:val="000000"/>
          <w:sz w:val="22"/>
          <w:szCs w:val="22"/>
          <w:shd w:val="clear" w:color="auto" w:fill="auto"/>
        </w:rPr>
      </w:pPr>
      <w:r>
        <w:rPr>
          <w:rFonts w:ascii="Arial" w:eastAsia="Times New Roman" w:hAnsi="Arial" w:cs="Arial"/>
          <w:color w:val="000000"/>
          <w:sz w:val="22"/>
          <w:szCs w:val="22"/>
        </w:rPr>
        <w:t>Director</w:t>
      </w:r>
    </w:p>
    <w:p w:rsidR="00EE4C21" w:rsidRPr="000A5855" w:rsidP="00B05195">
      <w:pPr>
        <w:spacing w:line="276" w:lineRule="auto"/>
        <w:rPr>
          <w:rFonts w:ascii="Arial" w:hAnsi="Arial" w:cs="Arial"/>
          <w:color w:val="000000"/>
          <w:sz w:val="22"/>
          <w:szCs w:val="22"/>
          <w:shd w:val="clear" w:color="auto" w:fill="auto"/>
        </w:rPr>
      </w:pPr>
    </w:p>
    <w:sectPr w:rsidSect="001C07E5">
      <w:headerReference w:type="default" r:id="rId4"/>
      <w:headerReference w:type="first" r:id="rId5"/>
      <w:footerReference w:type="first" r:id="rId6"/>
      <w:pgSz w:w="12240" w:h="15840"/>
      <w:pgMar w:top="2160" w:right="1440" w:bottom="1728" w:left="1440" w:header="1152" w:footer="864" w:gutter="0"/>
      <w:cols w:space="720"/>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 w:name="Helvetica Neue">
    <w:altName w:val="Corbel"/>
    <w:charset w:val="00"/>
    <w:family w:val="auto"/>
    <w:pitch w:val="variable"/>
    <w:sig w:usb0="00000003" w:usb1="500079DB" w:usb2="0000001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EE4C21" w:rsidRPr="00330416" w:rsidP="00EE4C21">
    <w:pPr>
      <w:rPr>
        <w:rFonts w:ascii="Arial" w:hAnsi="Arial" w:cs="Arial"/>
        <w:color w:val="000000"/>
        <w:sz w:val="15"/>
        <w:szCs w:val="15"/>
        <w:shd w:val="clear" w:color="auto" w:fill="auto"/>
      </w:rPr>
    </w:pPr>
    <w:r>
      <w:rPr>
        <w:rFonts w:ascii="Arial" w:hAnsi="Arial" w:cs="Arial"/>
        <w:color w:val="000000" w:themeColor="text1"/>
        <w:sz w:val="15"/>
        <w:szCs w:val="15"/>
      </w:rPr>
      <w:t>1616 Woodall Rodgers Freeway, Dallas, Texas 75202</w:t>
    </w:r>
  </w:p>
  <w:p w:rsidR="00EE4C21" w:rsidRPr="00EE4C21" w:rsidP="00EE4C21">
    <w:pPr>
      <w:rPr>
        <w:rFonts w:ascii="Arial" w:hAnsi="Arial" w:cs="Arial"/>
        <w:color w:val="000000"/>
        <w:sz w:val="15"/>
        <w:szCs w:val="15"/>
        <w:shd w:val="clear" w:color="auto" w:fill="auto"/>
      </w:rPr>
    </w:pPr>
    <w:r>
      <w:rPr>
        <w:rFonts w:ascii="Arial" w:hAnsi="Arial" w:cs="Arial"/>
        <w:color w:val="000000" w:themeColor="text1"/>
        <w:sz w:val="15"/>
        <w:szCs w:val="15"/>
      </w:rPr>
      <w:t>214</w:t>
    </w:r>
    <w:r w:rsidRPr="00330416">
      <w:rPr>
        <w:rFonts w:ascii="Arial" w:hAnsi="Arial" w:cs="Arial"/>
        <w:color w:val="000000" w:themeColor="text1"/>
        <w:sz w:val="15"/>
        <w:szCs w:val="15"/>
      </w:rPr>
      <w:t>.</w:t>
    </w:r>
    <w:r w:rsidR="00C1271D">
      <w:rPr>
        <w:rFonts w:ascii="Arial" w:hAnsi="Arial" w:cs="Arial"/>
        <w:color w:val="000000" w:themeColor="text1"/>
        <w:sz w:val="15"/>
        <w:szCs w:val="15"/>
      </w:rPr>
      <w:t>486.</w:t>
    </w:r>
    <w:r w:rsidR="00312950">
      <w:rPr>
        <w:rFonts w:ascii="Arial" w:hAnsi="Arial" w:cs="Arial"/>
        <w:color w:val="000000" w:themeColor="text1"/>
        <w:sz w:val="15"/>
        <w:szCs w:val="15"/>
      </w:rPr>
      <w:t>3512</w:t>
    </w:r>
    <w:r w:rsidRPr="00330416">
      <w:rPr>
        <w:rFonts w:ascii="Arial" w:hAnsi="Arial" w:cs="Arial"/>
        <w:color w:val="000000" w:themeColor="text1"/>
        <w:sz w:val="15"/>
        <w:szCs w:val="15"/>
      </w:rPr>
      <w:t>. | Oncor.com</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BD6D37">
    <w:pPr>
      <w:pStyle w:val="Header"/>
    </w:pPr>
    <w:r w:rsidRPr="00724FB0">
      <w:rPr>
        <w:rFonts w:ascii="Arial" w:hAnsi="Arial" w:cs="Arial"/>
        <w:noProof/>
        <w:sz w:val="15"/>
        <w:szCs w:val="15"/>
      </w:rPr>
      <w:drawing>
        <wp:anchor distT="0" distB="0" distL="114300" distR="114300" simplePos="0" relativeHeight="251659264" behindDoc="1" locked="0" layoutInCell="1" allowOverlap="1">
          <wp:simplePos x="0" y="0"/>
          <wp:positionH relativeFrom="page">
            <wp:posOffset>1701</wp:posOffset>
          </wp:positionH>
          <wp:positionV relativeFrom="page">
            <wp:posOffset>0</wp:posOffset>
          </wp:positionV>
          <wp:extent cx="7823862" cy="1005840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661315" name="Picture 2"/>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7823862" cy="10058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73227" w:rsidP="00724FB0">
    <w:pPr>
      <w:pStyle w:val="Header"/>
      <w:jc w:val="right"/>
      <w:rPr>
        <w:rFonts w:ascii="Arial" w:hAnsi="Arial" w:cs="Arial"/>
        <w:color w:val="auto"/>
        <w:sz w:val="15"/>
        <w:szCs w:val="15"/>
        <w:shd w:val="clear" w:color="auto" w:fill="auto"/>
      </w:rPr>
    </w:pPr>
    <w:r w:rsidRPr="00EE4C21">
      <w:rPr>
        <w:rFonts w:ascii="Arial" w:hAnsi="Arial" w:cs="Arial"/>
        <w:noProof/>
        <w:sz w:val="15"/>
        <w:szCs w:val="15"/>
      </w:rPr>
      <w:drawing>
        <wp:anchor distT="0" distB="0" distL="114300" distR="114300" simplePos="0" relativeHeight="251660288" behindDoc="1" locked="0" layoutInCell="1" allowOverlap="1">
          <wp:simplePos x="0" y="0"/>
          <wp:positionH relativeFrom="column">
            <wp:posOffset>0</wp:posOffset>
          </wp:positionH>
          <wp:positionV relativeFrom="paragraph">
            <wp:posOffset>-108726</wp:posOffset>
          </wp:positionV>
          <wp:extent cx="758952" cy="457200"/>
          <wp:effectExtent l="0" t="0" r="3175"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758952" cy="457200"/>
                  </a:xfrm>
                  <a:prstGeom prst="rect">
                    <a:avLst/>
                  </a:prstGeom>
                </pic:spPr>
              </pic:pic>
            </a:graphicData>
          </a:graphic>
          <wp14:sizeRelH relativeFrom="margin">
            <wp14:pctWidth>0</wp14:pctWidth>
          </wp14:sizeRelH>
          <wp14:sizeRelV relativeFrom="margin">
            <wp14:pctHeight>0</wp14:pctHeight>
          </wp14:sizeRelV>
        </wp:anchor>
      </w:drawing>
    </w:r>
    <w:r w:rsidRPr="00724FB0">
      <w:rPr>
        <w:rFonts w:ascii="Arial" w:hAnsi="Arial" w:cs="Arial"/>
        <w:noProof/>
        <w:sz w:val="15"/>
        <w:szCs w:val="15"/>
      </w:rPr>
      <w:drawing>
        <wp:anchor distT="0" distB="0" distL="114300" distR="114300" simplePos="0" relativeHeight="251658240" behindDoc="1" locked="0" layoutInCell="1" allowOverlap="1">
          <wp:simplePos x="0" y="0"/>
          <wp:positionH relativeFrom="page">
            <wp:align>left</wp:align>
          </wp:positionH>
          <wp:positionV relativeFrom="page">
            <wp:align>top</wp:align>
          </wp:positionV>
          <wp:extent cx="7823200" cy="10057765"/>
          <wp:effectExtent l="0" t="0" r="0" b="63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xmlns:r="http://schemas.openxmlformats.org/officeDocument/2006/relationships" r:embed="rId2">
                    <a:extLst>
                      <a:ext xmlns:a="http://schemas.openxmlformats.org/drawingml/2006/main" uri="{28A0092B-C50C-407E-A947-70E740481C1C}">
                        <a14:useLocalDpi xmlns:a14="http://schemas.microsoft.com/office/drawing/2010/main" val="0"/>
                      </a:ext>
                    </a:extLst>
                  </a:blip>
                  <a:stretch>
                    <a:fillRect/>
                  </a:stretch>
                </pic:blipFill>
                <pic:spPr>
                  <a:xfrm>
                    <a:off x="0" y="0"/>
                    <a:ext cx="7823200" cy="10057765"/>
                  </a:xfrm>
                  <a:prstGeom prst="rect">
                    <a:avLst/>
                  </a:prstGeom>
                </pic:spPr>
              </pic:pic>
            </a:graphicData>
          </a:graphic>
          <wp14:sizeRelH relativeFrom="margin">
            <wp14:pctWidth>0</wp14:pctWidth>
          </wp14:sizeRelH>
          <wp14:sizeRelV relativeFrom="margin">
            <wp14:pctHeight>0</wp14:pctHeight>
          </wp14:sizeRelV>
        </wp:anchor>
      </w:drawing>
    </w:r>
    <w:r w:rsidR="00312950">
      <w:rPr>
        <w:rFonts w:ascii="Arial" w:hAnsi="Arial" w:cs="Arial"/>
        <w:noProof/>
        <w:sz w:val="15"/>
        <w:szCs w:val="15"/>
      </w:rPr>
      <w:t>Thomas J. Yamin</w:t>
    </w:r>
    <w:r w:rsidR="00E23338">
      <w:rPr>
        <w:rFonts w:ascii="Arial" w:hAnsi="Arial" w:cs="Arial"/>
        <w:noProof/>
        <w:sz w:val="15"/>
        <w:szCs w:val="15"/>
      </w:rPr>
      <w:t>, P.E.</w:t>
    </w:r>
    <w:r w:rsidRPr="00724FB0" w:rsidR="00C1271D">
      <w:rPr>
        <w:rFonts w:ascii="Arial" w:hAnsi="Arial" w:cs="Arial"/>
        <w:sz w:val="15"/>
        <w:szCs w:val="15"/>
      </w:rPr>
      <w:t xml:space="preserve"> </w:t>
    </w:r>
    <w:r w:rsidRPr="00724FB0" w:rsidR="00724FB0">
      <w:rPr>
        <w:rFonts w:ascii="Arial" w:hAnsi="Arial" w:cs="Arial"/>
        <w:sz w:val="15"/>
        <w:szCs w:val="15"/>
      </w:rPr>
      <w:br/>
    </w:r>
    <w:r w:rsidR="00762AE1">
      <w:rPr>
        <w:rFonts w:ascii="Arial" w:hAnsi="Arial" w:cs="Arial"/>
        <w:sz w:val="15"/>
        <w:szCs w:val="15"/>
      </w:rPr>
      <w:t>Director</w:t>
    </w:r>
  </w:p>
  <w:p w:rsidR="00724FB0" w:rsidRPr="00724FB0" w:rsidP="00724FB0">
    <w:pPr>
      <w:pStyle w:val="Header"/>
      <w:jc w:val="right"/>
      <w:rPr>
        <w:rFonts w:ascii="Arial" w:hAnsi="Arial" w:cs="Arial"/>
        <w:color w:val="auto"/>
        <w:sz w:val="15"/>
        <w:szCs w:val="15"/>
        <w:shd w:val="clear" w:color="auto" w:fill="auto"/>
      </w:rPr>
    </w:pPr>
    <w:r>
      <w:rPr>
        <w:rFonts w:ascii="Arial" w:hAnsi="Arial" w:cs="Arial"/>
        <w:sz w:val="15"/>
        <w:szCs w:val="15"/>
      </w:rPr>
      <w:t>Regulatory Transmission and Planning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344C79EF"/>
    <w:multiLevelType w:val="hybridMultilevel"/>
    <w:tmpl w:val="1A663552"/>
    <w:lvl w:ilvl="0">
      <w:start w:val="1"/>
      <w:numFmt w:val="bullet"/>
      <w:lvlText w:val=""/>
      <w:lvlJc w:val="left"/>
      <w:pPr>
        <w:ind w:left="1139" w:hanging="360"/>
      </w:pPr>
      <w:rPr>
        <w:rFonts w:ascii="Symbol" w:hAnsi="Symbol" w:hint="default"/>
      </w:rPr>
    </w:lvl>
    <w:lvl w:ilvl="1" w:tentative="1">
      <w:start w:val="1"/>
      <w:numFmt w:val="bullet"/>
      <w:lvlText w:val="o"/>
      <w:lvlJc w:val="left"/>
      <w:pPr>
        <w:ind w:left="1859" w:hanging="360"/>
      </w:pPr>
      <w:rPr>
        <w:rFonts w:ascii="Courier New" w:hAnsi="Courier New" w:cs="Courier New" w:hint="default"/>
      </w:rPr>
    </w:lvl>
    <w:lvl w:ilvl="2" w:tentative="1">
      <w:start w:val="1"/>
      <w:numFmt w:val="bullet"/>
      <w:lvlText w:val=""/>
      <w:lvlJc w:val="left"/>
      <w:pPr>
        <w:ind w:left="2579" w:hanging="360"/>
      </w:pPr>
      <w:rPr>
        <w:rFonts w:ascii="Wingdings" w:hAnsi="Wingdings" w:hint="default"/>
      </w:rPr>
    </w:lvl>
    <w:lvl w:ilvl="3" w:tentative="1">
      <w:start w:val="1"/>
      <w:numFmt w:val="bullet"/>
      <w:lvlText w:val=""/>
      <w:lvlJc w:val="left"/>
      <w:pPr>
        <w:ind w:left="3299" w:hanging="360"/>
      </w:pPr>
      <w:rPr>
        <w:rFonts w:ascii="Symbol" w:hAnsi="Symbol" w:hint="default"/>
      </w:rPr>
    </w:lvl>
    <w:lvl w:ilvl="4" w:tentative="1">
      <w:start w:val="1"/>
      <w:numFmt w:val="bullet"/>
      <w:lvlText w:val="o"/>
      <w:lvlJc w:val="left"/>
      <w:pPr>
        <w:ind w:left="4019" w:hanging="360"/>
      </w:pPr>
      <w:rPr>
        <w:rFonts w:ascii="Courier New" w:hAnsi="Courier New" w:cs="Courier New" w:hint="default"/>
      </w:rPr>
    </w:lvl>
    <w:lvl w:ilvl="5" w:tentative="1">
      <w:start w:val="1"/>
      <w:numFmt w:val="bullet"/>
      <w:lvlText w:val=""/>
      <w:lvlJc w:val="left"/>
      <w:pPr>
        <w:ind w:left="4739" w:hanging="360"/>
      </w:pPr>
      <w:rPr>
        <w:rFonts w:ascii="Wingdings" w:hAnsi="Wingdings" w:hint="default"/>
      </w:rPr>
    </w:lvl>
    <w:lvl w:ilvl="6" w:tentative="1">
      <w:start w:val="1"/>
      <w:numFmt w:val="bullet"/>
      <w:lvlText w:val=""/>
      <w:lvlJc w:val="left"/>
      <w:pPr>
        <w:ind w:left="5459" w:hanging="360"/>
      </w:pPr>
      <w:rPr>
        <w:rFonts w:ascii="Symbol" w:hAnsi="Symbol" w:hint="default"/>
      </w:rPr>
    </w:lvl>
    <w:lvl w:ilvl="7" w:tentative="1">
      <w:start w:val="1"/>
      <w:numFmt w:val="bullet"/>
      <w:lvlText w:val="o"/>
      <w:lvlJc w:val="left"/>
      <w:pPr>
        <w:ind w:left="6179" w:hanging="360"/>
      </w:pPr>
      <w:rPr>
        <w:rFonts w:ascii="Courier New" w:hAnsi="Courier New" w:cs="Courier New" w:hint="default"/>
      </w:rPr>
    </w:lvl>
    <w:lvl w:ilvl="8" w:tentative="1">
      <w:start w:val="1"/>
      <w:numFmt w:val="bullet"/>
      <w:lvlText w:val=""/>
      <w:lvlJc w:val="left"/>
      <w:pPr>
        <w:ind w:left="6899" w:hanging="360"/>
      </w:pPr>
      <w:rPr>
        <w:rFonts w:ascii="Wingdings" w:hAnsi="Wingdings" w:hint="default"/>
      </w:rPr>
    </w:lvl>
  </w:abstractNum>
  <w:abstractNum w:abstractNumId="1">
    <w:nsid w:val="3D0B16B7"/>
    <w:multiLevelType w:val="hybridMultilevel"/>
    <w:tmpl w:val="92AEB332"/>
    <w:lvl w:ilvl="0">
      <w:start w:val="0"/>
      <w:numFmt w:val="bullet"/>
      <w:lvlText w:val="-"/>
      <w:lvlJc w:val="left"/>
      <w:pPr>
        <w:ind w:left="1080" w:hanging="360"/>
      </w:pPr>
      <w:rPr>
        <w:rFonts w:ascii="Arial" w:eastAsia="Cambria" w:hAnsi="Arial" w:cs="Arial" w:hint="default"/>
      </w:rPr>
    </w:lvl>
    <w:lvl w:ilvl="1" w:tentative="1">
      <w:start w:val="1"/>
      <w:numFmt w:val="bullet"/>
      <w:lvlText w:val="o"/>
      <w:lvlJc w:val="left"/>
      <w:pPr>
        <w:ind w:left="1800" w:hanging="360"/>
      </w:pPr>
      <w:rPr>
        <w:rFonts w:ascii="Courier New" w:hAnsi="Courier New" w:cs="Courier New" w:hint="default"/>
      </w:rPr>
    </w:lvl>
    <w:lvl w:ilvl="2" w:tentative="1">
      <w:start w:val="1"/>
      <w:numFmt w:val="bullet"/>
      <w:lvlText w:val=""/>
      <w:lvlJc w:val="left"/>
      <w:pPr>
        <w:ind w:left="2520" w:hanging="360"/>
      </w:pPr>
      <w:rPr>
        <w:rFonts w:ascii="Wingdings" w:hAnsi="Wingdings" w:hint="default"/>
      </w:rPr>
    </w:lvl>
    <w:lvl w:ilvl="3" w:tentative="1">
      <w:start w:val="1"/>
      <w:numFmt w:val="bullet"/>
      <w:lvlText w:val=""/>
      <w:lvlJc w:val="left"/>
      <w:pPr>
        <w:ind w:left="3240" w:hanging="360"/>
      </w:pPr>
      <w:rPr>
        <w:rFonts w:ascii="Symbol" w:hAnsi="Symbol" w:hint="default"/>
      </w:rPr>
    </w:lvl>
    <w:lvl w:ilvl="4" w:tentative="1">
      <w:start w:val="1"/>
      <w:numFmt w:val="bullet"/>
      <w:lvlText w:val="o"/>
      <w:lvlJc w:val="left"/>
      <w:pPr>
        <w:ind w:left="3960" w:hanging="360"/>
      </w:pPr>
      <w:rPr>
        <w:rFonts w:ascii="Courier New" w:hAnsi="Courier New" w:cs="Courier New" w:hint="default"/>
      </w:rPr>
    </w:lvl>
    <w:lvl w:ilvl="5" w:tentative="1">
      <w:start w:val="1"/>
      <w:numFmt w:val="bullet"/>
      <w:lvlText w:val=""/>
      <w:lvlJc w:val="left"/>
      <w:pPr>
        <w:ind w:left="4680" w:hanging="360"/>
      </w:pPr>
      <w:rPr>
        <w:rFonts w:ascii="Wingdings" w:hAnsi="Wingdings" w:hint="default"/>
      </w:rPr>
    </w:lvl>
    <w:lvl w:ilvl="6" w:tentative="1">
      <w:start w:val="1"/>
      <w:numFmt w:val="bullet"/>
      <w:lvlText w:val=""/>
      <w:lvlJc w:val="left"/>
      <w:pPr>
        <w:ind w:left="5400" w:hanging="360"/>
      </w:pPr>
      <w:rPr>
        <w:rFonts w:ascii="Symbol" w:hAnsi="Symbol" w:hint="default"/>
      </w:rPr>
    </w:lvl>
    <w:lvl w:ilvl="7" w:tentative="1">
      <w:start w:val="1"/>
      <w:numFmt w:val="bullet"/>
      <w:lvlText w:val="o"/>
      <w:lvlJc w:val="left"/>
      <w:pPr>
        <w:ind w:left="6120" w:hanging="360"/>
      </w:pPr>
      <w:rPr>
        <w:rFonts w:ascii="Courier New" w:hAnsi="Courier New" w:cs="Courier New" w:hint="default"/>
      </w:rPr>
    </w:lvl>
    <w:lvl w:ilvl="8" w:tentative="1">
      <w:start w:val="1"/>
      <w:numFmt w:val="bullet"/>
      <w:lvlText w:val=""/>
      <w:lvlJc w:val="left"/>
      <w:pPr>
        <w:ind w:left="6840" w:hanging="360"/>
      </w:pPr>
      <w:rPr>
        <w:rFonts w:ascii="Wingdings" w:hAnsi="Wingdings" w:hint="default"/>
      </w:rPr>
    </w:lvl>
  </w:abstractNum>
  <w:abstractNum w:abstractNumId="2">
    <w:nsid w:val="5F796A6C"/>
    <w:multiLevelType w:val="hybridMultilevel"/>
    <w:tmpl w:val="6144EFAC"/>
    <w:lvl w:ilvl="0">
      <w:start w:val="1"/>
      <w:numFmt w:val="bullet"/>
      <w:lvlText w:val=""/>
      <w:lvlJc w:val="left"/>
      <w:pPr>
        <w:tabs>
          <w:tab w:val="num" w:pos="1080"/>
        </w:tabs>
        <w:ind w:left="1080" w:hanging="360"/>
      </w:pPr>
      <w:rPr>
        <w:rFonts w:ascii="Symbol" w:hAnsi="Symbol" w:hint="default"/>
      </w:rPr>
    </w:lvl>
    <w:lvl w:ilvl="1" w:tentative="1">
      <w:start w:val="1"/>
      <w:numFmt w:val="bullet"/>
      <w:lvlText w:val="o"/>
      <w:lvlJc w:val="left"/>
      <w:pPr>
        <w:tabs>
          <w:tab w:val="num" w:pos="1800"/>
        </w:tabs>
        <w:ind w:left="1800" w:hanging="360"/>
      </w:pPr>
      <w:rPr>
        <w:rFonts w:ascii="Courier New" w:hAnsi="Courier New" w:cs="Courier New" w:hint="default"/>
      </w:rPr>
    </w:lvl>
    <w:lvl w:ilvl="2" w:tentative="1">
      <w:start w:val="1"/>
      <w:numFmt w:val="bullet"/>
      <w:lvlText w:val=""/>
      <w:lvlJc w:val="left"/>
      <w:pPr>
        <w:tabs>
          <w:tab w:val="num" w:pos="2520"/>
        </w:tabs>
        <w:ind w:left="2520" w:hanging="360"/>
      </w:pPr>
      <w:rPr>
        <w:rFonts w:ascii="Wingdings" w:hAnsi="Wingdings" w:hint="default"/>
      </w:rPr>
    </w:lvl>
    <w:lvl w:ilvl="3" w:tentative="1">
      <w:start w:val="1"/>
      <w:numFmt w:val="bullet"/>
      <w:lvlText w:val=""/>
      <w:lvlJc w:val="left"/>
      <w:pPr>
        <w:tabs>
          <w:tab w:val="num" w:pos="3240"/>
        </w:tabs>
        <w:ind w:left="3240" w:hanging="360"/>
      </w:pPr>
      <w:rPr>
        <w:rFonts w:ascii="Symbol" w:hAnsi="Symbol" w:hint="default"/>
      </w:rPr>
    </w:lvl>
    <w:lvl w:ilvl="4" w:tentative="1">
      <w:start w:val="1"/>
      <w:numFmt w:val="bullet"/>
      <w:lvlText w:val="o"/>
      <w:lvlJc w:val="left"/>
      <w:pPr>
        <w:tabs>
          <w:tab w:val="num" w:pos="3960"/>
        </w:tabs>
        <w:ind w:left="3960" w:hanging="360"/>
      </w:pPr>
      <w:rPr>
        <w:rFonts w:ascii="Courier New" w:hAnsi="Courier New" w:cs="Courier New" w:hint="default"/>
      </w:rPr>
    </w:lvl>
    <w:lvl w:ilvl="5" w:tentative="1">
      <w:start w:val="1"/>
      <w:numFmt w:val="bullet"/>
      <w:lvlText w:val=""/>
      <w:lvlJc w:val="left"/>
      <w:pPr>
        <w:tabs>
          <w:tab w:val="num" w:pos="4680"/>
        </w:tabs>
        <w:ind w:left="4680" w:hanging="360"/>
      </w:pPr>
      <w:rPr>
        <w:rFonts w:ascii="Wingdings" w:hAnsi="Wingdings" w:hint="default"/>
      </w:rPr>
    </w:lvl>
    <w:lvl w:ilvl="6" w:tentative="1">
      <w:start w:val="1"/>
      <w:numFmt w:val="bullet"/>
      <w:lvlText w:val=""/>
      <w:lvlJc w:val="left"/>
      <w:pPr>
        <w:tabs>
          <w:tab w:val="num" w:pos="5400"/>
        </w:tabs>
        <w:ind w:left="5400" w:hanging="360"/>
      </w:pPr>
      <w:rPr>
        <w:rFonts w:ascii="Symbol" w:hAnsi="Symbol" w:hint="default"/>
      </w:rPr>
    </w:lvl>
    <w:lvl w:ilvl="7" w:tentative="1">
      <w:start w:val="1"/>
      <w:numFmt w:val="bullet"/>
      <w:lvlText w:val="o"/>
      <w:lvlJc w:val="left"/>
      <w:pPr>
        <w:tabs>
          <w:tab w:val="num" w:pos="6120"/>
        </w:tabs>
        <w:ind w:left="6120" w:hanging="360"/>
      </w:pPr>
      <w:rPr>
        <w:rFonts w:ascii="Courier New" w:hAnsi="Courier New" w:cs="Courier New" w:hint="default"/>
      </w:rPr>
    </w:lvl>
    <w:lvl w:ilvl="8" w:tentative="1">
      <w:start w:val="1"/>
      <w:numFmt w:val="bullet"/>
      <w:lvlText w:val=""/>
      <w:lvlJc w:val="left"/>
      <w:pPr>
        <w:tabs>
          <w:tab w:val="num" w:pos="6840"/>
        </w:tabs>
        <w:ind w:left="6840" w:hanging="360"/>
      </w:pPr>
      <w:rPr>
        <w:rFonts w:ascii="Wingdings" w:hAnsi="Wingdings" w:hint="default"/>
      </w:rPr>
    </w:lvl>
  </w:abstractNum>
  <w:abstractNum w:abstractNumId="3">
    <w:nsid w:val="7A2248D4"/>
    <w:multiLevelType w:val="hybridMultilevel"/>
    <w:tmpl w:val="48D68766"/>
    <w:lvl w:ilvl="0">
      <w:start w:val="1"/>
      <w:numFmt w:val="bullet"/>
      <w:lvlText w:val="•"/>
      <w:lvlJc w:val="left"/>
      <w:pPr>
        <w:tabs>
          <w:tab w:val="num" w:pos="360"/>
        </w:tabs>
        <w:ind w:left="360" w:hanging="360"/>
      </w:pPr>
      <w:rPr>
        <w:rFonts w:ascii="Arial" w:hAnsi="Arial" w:hint="default"/>
      </w:rPr>
    </w:lvl>
    <w:lvl w:ilvl="1" w:tentative="1">
      <w:start w:val="1"/>
      <w:numFmt w:val="bullet"/>
      <w:lvlText w:val="o"/>
      <w:lvlJc w:val="left"/>
      <w:pPr>
        <w:tabs>
          <w:tab w:val="num" w:pos="1080"/>
        </w:tabs>
        <w:ind w:left="1080" w:hanging="360"/>
      </w:pPr>
      <w:rPr>
        <w:rFonts w:ascii="Courier New" w:hAnsi="Courier New" w:cs="Courier New" w:hint="default"/>
      </w:rPr>
    </w:lvl>
    <w:lvl w:ilvl="2" w:tentative="1">
      <w:start w:val="1"/>
      <w:numFmt w:val="bullet"/>
      <w:lvlText w:val=""/>
      <w:lvlJc w:val="left"/>
      <w:pPr>
        <w:tabs>
          <w:tab w:val="num" w:pos="1800"/>
        </w:tabs>
        <w:ind w:left="1800" w:hanging="360"/>
      </w:pPr>
      <w:rPr>
        <w:rFonts w:ascii="Wingdings" w:hAnsi="Wingdings" w:hint="default"/>
      </w:rPr>
    </w:lvl>
    <w:lvl w:ilvl="3" w:tentative="1">
      <w:start w:val="1"/>
      <w:numFmt w:val="bullet"/>
      <w:lvlText w:val=""/>
      <w:lvlJc w:val="left"/>
      <w:pPr>
        <w:tabs>
          <w:tab w:val="num" w:pos="2520"/>
        </w:tabs>
        <w:ind w:left="2520" w:hanging="360"/>
      </w:pPr>
      <w:rPr>
        <w:rFonts w:ascii="Symbol" w:hAnsi="Symbol" w:hint="default"/>
      </w:rPr>
    </w:lvl>
    <w:lvl w:ilvl="4" w:tentative="1">
      <w:start w:val="1"/>
      <w:numFmt w:val="bullet"/>
      <w:lvlText w:val="o"/>
      <w:lvlJc w:val="left"/>
      <w:pPr>
        <w:tabs>
          <w:tab w:val="num" w:pos="3240"/>
        </w:tabs>
        <w:ind w:left="3240" w:hanging="360"/>
      </w:pPr>
      <w:rPr>
        <w:rFonts w:ascii="Courier New" w:hAnsi="Courier New" w:cs="Courier New" w:hint="default"/>
      </w:rPr>
    </w:lvl>
    <w:lvl w:ilvl="5" w:tentative="1">
      <w:start w:val="1"/>
      <w:numFmt w:val="bullet"/>
      <w:lvlText w:val=""/>
      <w:lvlJc w:val="left"/>
      <w:pPr>
        <w:tabs>
          <w:tab w:val="num" w:pos="3960"/>
        </w:tabs>
        <w:ind w:left="3960" w:hanging="360"/>
      </w:pPr>
      <w:rPr>
        <w:rFonts w:ascii="Wingdings" w:hAnsi="Wingdings" w:hint="default"/>
      </w:rPr>
    </w:lvl>
    <w:lvl w:ilvl="6" w:tentative="1">
      <w:start w:val="1"/>
      <w:numFmt w:val="bullet"/>
      <w:lvlText w:val=""/>
      <w:lvlJc w:val="left"/>
      <w:pPr>
        <w:tabs>
          <w:tab w:val="num" w:pos="4680"/>
        </w:tabs>
        <w:ind w:left="4680" w:hanging="360"/>
      </w:pPr>
      <w:rPr>
        <w:rFonts w:ascii="Symbol" w:hAnsi="Symbol" w:hint="default"/>
      </w:rPr>
    </w:lvl>
    <w:lvl w:ilvl="7" w:tentative="1">
      <w:start w:val="1"/>
      <w:numFmt w:val="bullet"/>
      <w:lvlText w:val="o"/>
      <w:lvlJc w:val="left"/>
      <w:pPr>
        <w:tabs>
          <w:tab w:val="num" w:pos="5400"/>
        </w:tabs>
        <w:ind w:left="5400" w:hanging="360"/>
      </w:pPr>
      <w:rPr>
        <w:rFonts w:ascii="Courier New" w:hAnsi="Courier New" w:cs="Courier New" w:hint="default"/>
      </w:rPr>
    </w:lvl>
    <w:lvl w:ilvl="8" w:tentative="1">
      <w:start w:val="1"/>
      <w:numFmt w:val="bullet"/>
      <w:lvlText w:val=""/>
      <w:lvlJc w:val="left"/>
      <w:pPr>
        <w:tabs>
          <w:tab w:val="num" w:pos="6120"/>
        </w:tabs>
        <w:ind w:left="6120" w:hanging="360"/>
      </w:pPr>
      <w:rPr>
        <w:rFonts w:ascii="Wingdings" w:hAnsi="Wingdings" w:hint="default"/>
      </w:rPr>
    </w:lvl>
  </w:abstractNum>
  <w:abstractNum w:abstractNumId="4">
    <w:nsid w:val="7F0D772C"/>
    <w:multiLevelType w:val="hybridMultilevel"/>
    <w:tmpl w:val="650261B2"/>
    <w:lvl w:ilvl="0">
      <w:start w:val="1"/>
      <w:numFmt w:val="bullet"/>
      <w:lvlText w:val=""/>
      <w:lvlJc w:val="left"/>
      <w:pPr>
        <w:ind w:left="360" w:hanging="360"/>
      </w:pPr>
      <w:rPr>
        <w:rFonts w:ascii="Symbol" w:hAnsi="Symbol" w:hint="default"/>
      </w:rPr>
    </w:lvl>
    <w:lvl w:ilvl="1" w:tentative="1">
      <w:start w:val="1"/>
      <w:numFmt w:val="bullet"/>
      <w:lvlText w:val="o"/>
      <w:lvlJc w:val="left"/>
      <w:pPr>
        <w:ind w:left="1080" w:hanging="360"/>
      </w:pPr>
      <w:rPr>
        <w:rFonts w:ascii="Courier New" w:hAnsi="Courier New" w:cs="Courier New"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num w:numId="1">
    <w:abstractNumId w:val="2"/>
  </w:num>
  <w:num w:numId="2">
    <w:abstractNumId w:val="4"/>
  </w:num>
  <w:num w:numId="3">
    <w:abstractNumId w:val="0"/>
  </w:num>
  <w:num w:numId="4">
    <w:abstractNumId w:val="1"/>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F5219"/>
    <w:rsid w:val="00050C2F"/>
    <w:rsid w:val="000559F9"/>
    <w:rsid w:val="00084A10"/>
    <w:rsid w:val="000A5855"/>
    <w:rsid w:val="000A6176"/>
    <w:rsid w:val="00151CFD"/>
    <w:rsid w:val="001C07E5"/>
    <w:rsid w:val="00256A13"/>
    <w:rsid w:val="002936CC"/>
    <w:rsid w:val="002D2ACA"/>
    <w:rsid w:val="00312950"/>
    <w:rsid w:val="00330416"/>
    <w:rsid w:val="00370F3F"/>
    <w:rsid w:val="00376C61"/>
    <w:rsid w:val="004A195F"/>
    <w:rsid w:val="004B36BA"/>
    <w:rsid w:val="004F5219"/>
    <w:rsid w:val="00513B15"/>
    <w:rsid w:val="00571F4E"/>
    <w:rsid w:val="0058120E"/>
    <w:rsid w:val="00583C67"/>
    <w:rsid w:val="005D784C"/>
    <w:rsid w:val="006619A1"/>
    <w:rsid w:val="006948C6"/>
    <w:rsid w:val="006B1F14"/>
    <w:rsid w:val="006C7F5E"/>
    <w:rsid w:val="006E635F"/>
    <w:rsid w:val="00714653"/>
    <w:rsid w:val="00724DB2"/>
    <w:rsid w:val="00724FB0"/>
    <w:rsid w:val="00762AE1"/>
    <w:rsid w:val="007D0C20"/>
    <w:rsid w:val="008D03B5"/>
    <w:rsid w:val="008D6F7D"/>
    <w:rsid w:val="00907D2C"/>
    <w:rsid w:val="00992489"/>
    <w:rsid w:val="00A64C42"/>
    <w:rsid w:val="00AF7A7C"/>
    <w:rsid w:val="00B05195"/>
    <w:rsid w:val="00B627E4"/>
    <w:rsid w:val="00BD6D37"/>
    <w:rsid w:val="00C1271D"/>
    <w:rsid w:val="00C3452E"/>
    <w:rsid w:val="00C95A4C"/>
    <w:rsid w:val="00D3272C"/>
    <w:rsid w:val="00D73227"/>
    <w:rsid w:val="00DF7F50"/>
    <w:rsid w:val="00E23338"/>
    <w:rsid w:val="00EC7D78"/>
    <w:rsid w:val="00EE4C21"/>
    <w:rsid w:val="00F353CC"/>
    <w:rsid w:val="00F52D67"/>
    <w:rsid w:val="00F73774"/>
    <w:rsid w:val="00FC3C01"/>
  </w:rsids>
  <m:mathPr>
    <m:mathFont m:val="Cambria Math"/>
  </m:mathPr>
  <w:themeFontLang w:val="en-US"/>
  <w:clrSchemeMapping w:bg1="light1" w:t1="dark1" w:bg2="light2" w:t2="dark2" w:accent1="accent1" w:accent2="accent2" w:accent3="accent3" w:accent4="accent4" w:accent5="accent5" w:accent6="accent6" w:hyperlink="hyperlink" w:followedHyperlink="followedHyperlink"/>
  <w14:defaultImageDpi w14:val="32767"/>
  <w15:chartTrackingRefBased/>
  <w15:docId w15:val="{DBBF27D8-CBEF-DC4F-BB52-F9D6485F9D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24FB0"/>
    <w:pPr>
      <w:tabs>
        <w:tab w:val="center" w:pos="4680"/>
        <w:tab w:val="right" w:pos="9360"/>
      </w:tabs>
    </w:pPr>
  </w:style>
  <w:style w:type="character" w:customStyle="1" w:styleId="HeaderChar">
    <w:name w:val="Header Char"/>
    <w:basedOn w:val="DefaultParagraphFont"/>
    <w:link w:val="Header"/>
    <w:uiPriority w:val="99"/>
    <w:rsid w:val="00724FB0"/>
  </w:style>
  <w:style w:type="paragraph" w:styleId="Footer">
    <w:name w:val="footer"/>
    <w:basedOn w:val="Normal"/>
    <w:link w:val="FooterChar"/>
    <w:uiPriority w:val="99"/>
    <w:unhideWhenUsed/>
    <w:rsid w:val="00724FB0"/>
    <w:pPr>
      <w:tabs>
        <w:tab w:val="center" w:pos="4680"/>
        <w:tab w:val="right" w:pos="9360"/>
      </w:tabs>
    </w:pPr>
  </w:style>
  <w:style w:type="character" w:customStyle="1" w:styleId="FooterChar">
    <w:name w:val="Footer Char"/>
    <w:basedOn w:val="DefaultParagraphFont"/>
    <w:link w:val="Footer"/>
    <w:uiPriority w:val="99"/>
    <w:rsid w:val="00724FB0"/>
  </w:style>
  <w:style w:type="paragraph" w:customStyle="1" w:styleId="yiv0126086969msonormal">
    <w:name w:val="yiv0126086969msonormal"/>
    <w:basedOn w:val="Normal"/>
    <w:rsid w:val="00B05195"/>
    <w:pPr>
      <w:spacing w:before="100" w:beforeAutospacing="1" w:after="100" w:afterAutospacing="1"/>
    </w:pPr>
    <w:rPr>
      <w:rFonts w:ascii="Times New Roman" w:eastAsia="Times New Roman" w:hAnsi="Times New Roman" w:cs="Times New Roman"/>
    </w:rPr>
  </w:style>
  <w:style w:type="paragraph" w:customStyle="1" w:styleId="yiv0126086969basicparagraph">
    <w:name w:val="yiv0126086969basicparagraph"/>
    <w:basedOn w:val="Normal"/>
    <w:rsid w:val="00B05195"/>
    <w:pPr>
      <w:spacing w:before="100" w:beforeAutospacing="1" w:after="100" w:afterAutospacing="1"/>
    </w:pPr>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header" Target="header1.xml" /><Relationship Id="rId5" Type="http://schemas.openxmlformats.org/officeDocument/2006/relationships/header" Target="header2.xml" /><Relationship Id="rId6" Type="http://schemas.openxmlformats.org/officeDocument/2006/relationships/footer" Target="footer1.xml" /><Relationship Id="rId7" Type="http://schemas.openxmlformats.org/officeDocument/2006/relationships/theme" Target="theme/theme1.xml" /><Relationship Id="rId8" Type="http://schemas.openxmlformats.org/officeDocument/2006/relationships/numbering" Target="numbering.xml" /><Relationship Id="rId9" Type="http://schemas.openxmlformats.org/officeDocument/2006/relationships/styles" Target="styles.xml" /></Relationships>
</file>

<file path=word/_rels/header1.xml.rels>&#65279;<?xml version="1.0" encoding="utf-8" standalone="yes"?><Relationships xmlns="http://schemas.openxmlformats.org/package/2006/relationships"><Relationship Id="rId1" Type="http://schemas.openxmlformats.org/officeDocument/2006/relationships/image" Target="media/image1.jpeg" /></Relationships>
</file>

<file path=word/_rels/header2.xml.rels>&#65279;<?xml version="1.0" encoding="utf-8" standalone="yes"?><Relationships xmlns="http://schemas.openxmlformats.org/package/2006/relationships"><Relationship Id="rId1" Type="http://schemas.openxmlformats.org/officeDocument/2006/relationships/image" Target="media/image2.emf" /><Relationship Id="rId2" Type="http://schemas.openxmlformats.org/officeDocument/2006/relationships/image" Target="media/image1.jpeg"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Pages>
  <Words>384</Words>
  <Characters>2202</Characters>
  <Application>Microsoft Office Word</Application>
  <DocSecurity>0</DocSecurity>
  <Lines>18</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0</cp:revision>
</cp:coreProperties>
</file>